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2954"/>
          <w:tab w:val="left" w:pos="7938"/>
        </w:tabs>
        <w:spacing w:before="0" w:beforeLines="0" w:afterLines="0"/>
        <w:ind w:left="0" w:right="84"/>
        <w:jc w:val="center"/>
        <w:rPr>
          <w:rFonts w:hint="default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highlight w:val="none"/>
        </w:rPr>
        <w:t>证券代码：300873       证券简称：海晨股份        公告编号：2023-0</w:t>
      </w:r>
      <w:r>
        <w:rPr>
          <w:rFonts w:hint="eastAsia" w:ascii="宋体" w:hAnsi="宋体" w:eastAsia="宋体" w:cs="宋体"/>
          <w:kern w:val="2"/>
          <w:highlight w:val="none"/>
          <w:lang w:val="en-US" w:eastAsia="zh-CN"/>
        </w:rPr>
        <w:t>77</w:t>
      </w:r>
    </w:p>
    <w:p>
      <w:pPr>
        <w:pStyle w:val="2"/>
        <w:spacing w:before="0" w:beforeLines="0" w:afterLines="0"/>
        <w:ind w:right="176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江苏海晨物流股份有限公司</w:t>
      </w:r>
    </w:p>
    <w:p>
      <w:pPr>
        <w:widowControl/>
        <w:spacing w:beforeLines="-2147483648" w:afterLines="-2147483648" w:line="240" w:lineRule="auto"/>
        <w:ind w:right="0"/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关于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对外投资暨增资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 w:bidi="ar"/>
        </w:rPr>
        <w:t>重庆瑞驰汽车实业有限公司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的公告</w:t>
      </w:r>
    </w:p>
    <w:p>
      <w:pPr>
        <w:pBdr>
          <w:top w:val="single" w:color="auto" w:sz="4" w:space="0"/>
          <w:left w:val="single" w:color="auto" w:sz="4" w:space="4"/>
          <w:bottom w:val="single" w:color="auto" w:sz="4" w:space="5"/>
          <w:right w:val="single" w:color="auto" w:sz="4" w:space="4"/>
        </w:pBdr>
        <w:adjustRightInd w:val="0"/>
        <w:snapToGrid w:val="0"/>
        <w:spacing w:before="48" w:beforeLines="20" w:after="48" w:afterLines="20" w:line="50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</w:rPr>
        <w:t>本公司及董事会全体成员保证信息披露的内容真实、准确、完整，没有虚假记载、误导性陈述或重大遗漏。</w:t>
      </w:r>
    </w:p>
    <w:p>
      <w:pPr>
        <w:pStyle w:val="3"/>
        <w:numPr>
          <w:ilvl w:val="255"/>
          <w:numId w:val="0"/>
        </w:numPr>
        <w:autoSpaceDE/>
        <w:autoSpaceDN/>
        <w:adjustRightInd w:val="0"/>
        <w:snapToGrid w:val="0"/>
        <w:spacing w:before="157" w:beforeLines="50" w:after="157" w:afterLines="50" w:line="360" w:lineRule="auto"/>
        <w:ind w:left="440" w:leftChars="200"/>
        <w:outlineLvl w:val="0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一、交易概述</w:t>
      </w:r>
    </w:p>
    <w:p>
      <w:pPr>
        <w:pStyle w:val="3"/>
        <w:numPr>
          <w:ilvl w:val="-1"/>
          <w:numId w:val="0"/>
        </w:numPr>
        <w:autoSpaceDE/>
        <w:autoSpaceDN/>
        <w:adjustRightInd w:val="0"/>
        <w:snapToGrid w:val="0"/>
        <w:spacing w:before="0" w:beforeLines="0" w:after="0" w:afterLines="0" w:line="360" w:lineRule="auto"/>
        <w:ind w:left="0" w:leftChars="0" w:firstLine="480" w:firstLineChars="200"/>
        <w:outlineLvl w:val="0"/>
        <w:rPr>
          <w:rFonts w:hint="eastAsia" w:ascii="宋体" w:hAnsi="宋体" w:eastAsia="宋体" w:cs="宋体"/>
          <w:color w:val="000000"/>
          <w:kern w:val="0"/>
          <w:sz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1、12月29日，江苏海晨物流股份有限公司</w:t>
      </w:r>
      <w:r>
        <w:rPr>
          <w:rFonts w:hint="eastAsia" w:ascii="宋体" w:hAnsi="宋体" w:eastAsia="宋体" w:cs="宋体"/>
          <w:highlight w:val="none"/>
        </w:rPr>
        <w:t>（以下简称“公司”或“海晨股份”）</w:t>
      </w:r>
      <w:r>
        <w:rPr>
          <w:rFonts w:hint="eastAsia" w:ascii="宋体" w:hAnsi="宋体" w:eastAsia="宋体" w:cs="宋体"/>
          <w:highlight w:val="none"/>
          <w:lang w:val="en-US" w:eastAsia="zh-CN"/>
        </w:rPr>
        <w:t>与重庆瑞驰汽车实业有限公司（以下简称“瑞驰实业”）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签订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增资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协议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海晨股份出资1.5亿元，参与认购瑞驰实业新增注册资本1,500万元，占本次增资后瑞驰实业股权比例的3.30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</w:rPr>
        <w:t>%</w:t>
      </w:r>
      <w:r>
        <w:rPr>
          <w:rFonts w:hint="eastAsia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本次交易不构成关联交易，亦不构成重大资产重组。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根据《深圳证券交易所创业板股票上市规则》、《公司章程》等相关规定，本次对外投资事项无需提交董事会和股东大会审议。</w:t>
      </w:r>
    </w:p>
    <w:p>
      <w:pPr>
        <w:pStyle w:val="3"/>
        <w:numPr>
          <w:ilvl w:val="255"/>
          <w:numId w:val="0"/>
        </w:numPr>
        <w:autoSpaceDE/>
        <w:autoSpaceDN/>
        <w:adjustRightInd w:val="0"/>
        <w:snapToGrid w:val="0"/>
        <w:spacing w:before="157" w:beforeLines="50" w:after="157" w:afterLines="50" w:line="360" w:lineRule="auto"/>
        <w:ind w:left="440" w:leftChars="200" w:firstLine="0" w:firstLineChars="0"/>
        <w:outlineLvl w:val="0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highlight w:val="none"/>
        </w:rPr>
        <w:t>、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本次</w:t>
      </w:r>
      <w:r>
        <w:rPr>
          <w:rFonts w:hint="eastAsia" w:ascii="宋体" w:hAnsi="宋体" w:eastAsia="宋体" w:cs="宋体"/>
          <w:b/>
          <w:bCs/>
          <w:highlight w:val="none"/>
        </w:rPr>
        <w:t>交易标的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公司</w:t>
      </w:r>
      <w:r>
        <w:rPr>
          <w:rFonts w:hint="eastAsia" w:ascii="宋体" w:hAnsi="宋体" w:eastAsia="宋体" w:cs="宋体"/>
          <w:b/>
          <w:bCs/>
          <w:highlight w:val="none"/>
        </w:rPr>
        <w:t>情况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企业名称：重庆瑞驰汽车实业有限公司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统一社会信用代码：91500106747471695N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成立日期：</w:t>
      </w:r>
      <w:r>
        <w:rPr>
          <w:rFonts w:ascii="宋体" w:hAnsi="宋体" w:cs="宋体"/>
          <w:color w:val="000000"/>
          <w:kern w:val="0"/>
          <w:sz w:val="24"/>
        </w:rPr>
        <w:t>2003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ascii="宋体" w:hAnsi="宋体" w:cs="宋体"/>
          <w:color w:val="000000"/>
          <w:kern w:val="0"/>
          <w:sz w:val="24"/>
        </w:rPr>
        <w:t>9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>27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住所：重庆市江北区复盛镇盛泰路111号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注册资本：人民币20,000万元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经营范围：道路机动车辆生产，货物进出口，技术进出口，汽车新车销售，汽车零部件及配件制造，新能源汽车整车销售，新能源汽车电附件销售，电池销售，技术服务、技术开发、技术咨询、技术交流、技术转让、技术推广，工程和技术研究和试验发展，非居住房地产租赁，住房租赁，机械设备租赁，汽车零配件零售，汽车零配件批发，充电桩销售，润滑油销售，汽车装饰用品销售，汽车零部件研发，新能源汽车换电设施销售，机械电气设备销售。</w:t>
      </w:r>
      <w:bookmarkStart w:id="0" w:name="_GoBack"/>
      <w:bookmarkEnd w:id="0"/>
    </w:p>
    <w:p>
      <w:pPr>
        <w:autoSpaceDE w:val="0"/>
        <w:autoSpaceDN w:val="0"/>
        <w:adjustRightInd w:val="0"/>
        <w:spacing w:line="24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主要财务数据：</w:t>
      </w:r>
    </w:p>
    <w:p>
      <w:pPr>
        <w:autoSpaceDE w:val="0"/>
        <w:autoSpaceDN w:val="0"/>
        <w:adjustRightInd w:val="0"/>
        <w:spacing w:line="240" w:lineRule="auto"/>
        <w:ind w:firstLine="480" w:firstLineChars="200"/>
        <w:jc w:val="righ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40" w:lineRule="auto"/>
        <w:ind w:firstLine="480" w:firstLineChars="200"/>
        <w:jc w:val="righ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40" w:lineRule="auto"/>
        <w:ind w:firstLine="480" w:firstLineChars="20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单位：万元</w:t>
      </w:r>
    </w:p>
    <w:tbl>
      <w:tblPr>
        <w:tblStyle w:val="1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4"/>
        <w:gridCol w:w="2776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2022年12月31日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2023年7月31日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240,166.37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192,446.94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所有者权益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42,234.36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44,733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2022年度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2023年1-7月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营业收入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276,023.27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115,541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净利润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12,966.50</w:t>
            </w:r>
          </w:p>
        </w:tc>
        <w:tc>
          <w:tcPr>
            <w:tcW w:w="277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2,492.56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注：以上财务数据已经大信会计师事务所（特殊普通合伙）审计。截至目前，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瑞驰实业</w:t>
      </w:r>
      <w:r>
        <w:rPr>
          <w:rFonts w:hint="eastAsia" w:ascii="宋体" w:hAnsi="宋体" w:cs="宋体"/>
          <w:color w:val="000000"/>
          <w:kern w:val="0"/>
          <w:sz w:val="24"/>
        </w:rPr>
        <w:t>权属清晰，资信状况良好，未被列为失信被执行人。</w:t>
      </w:r>
    </w:p>
    <w:p>
      <w:pPr>
        <w:autoSpaceDE w:val="0"/>
        <w:autoSpaceDN w:val="0"/>
        <w:spacing w:line="360" w:lineRule="auto"/>
        <w:ind w:firstLine="442" w:firstLineChars="200"/>
        <w:rPr>
          <w:rFonts w:hint="eastAsia" w:ascii="宋体" w:hAnsi="宋体" w:eastAsia="宋体" w:cs="宋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highlight w:val="none"/>
        </w:rPr>
        <w:t>、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本次</w:t>
      </w:r>
      <w:r>
        <w:rPr>
          <w:rFonts w:hint="eastAsia" w:ascii="宋体" w:hAnsi="宋体" w:eastAsia="宋体" w:cs="宋体"/>
          <w:b/>
          <w:bCs/>
          <w:highlight w:val="none"/>
        </w:rPr>
        <w:t>交易的主要内容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Noto Sans CJK JP Black" w:cs="宋体"/>
          <w:bCs/>
          <w:color w:val="000000"/>
          <w:kern w:val="0"/>
          <w:sz w:val="24"/>
          <w:lang w:val="en-US" w:eastAsia="zh-CN"/>
        </w:rPr>
        <w:t>1、本次增资。</w:t>
      </w:r>
      <w:r>
        <w:rPr>
          <w:rFonts w:hint="eastAsia" w:ascii="宋体" w:hAnsi="宋体" w:eastAsia="Noto Sans CJK JP Black" w:cs="宋体"/>
          <w:bCs/>
          <w:color w:val="000000"/>
          <w:sz w:val="24"/>
          <w:szCs w:val="22"/>
          <w:lang w:val="en-US" w:eastAsia="zh-CN"/>
        </w:rPr>
        <w:t>公司</w:t>
      </w:r>
      <w:r>
        <w:rPr>
          <w:rFonts w:hint="eastAsia" w:ascii="宋体" w:hAnsi="宋体" w:cs="宋体"/>
          <w:bCs/>
          <w:color w:val="000000"/>
          <w:sz w:val="24"/>
          <w:szCs w:val="22"/>
        </w:rPr>
        <w:t>以</w:t>
      </w:r>
      <w:r>
        <w:rPr>
          <w:rFonts w:hint="eastAsia" w:ascii="宋体" w:hAnsi="宋体" w:cs="宋体"/>
          <w:bCs/>
          <w:color w:val="000000"/>
          <w:sz w:val="24"/>
          <w:szCs w:val="22"/>
          <w:lang w:val="en-US" w:eastAsia="zh-CN"/>
        </w:rPr>
        <w:t>15,000</w:t>
      </w:r>
      <w:r>
        <w:rPr>
          <w:rFonts w:hint="eastAsia" w:ascii="宋体" w:hAnsi="宋体" w:cs="宋体"/>
          <w:bCs/>
          <w:color w:val="000000"/>
          <w:sz w:val="24"/>
          <w:szCs w:val="22"/>
        </w:rPr>
        <w:t>万元现金的投资款认购</w:t>
      </w:r>
      <w:r>
        <w:rPr>
          <w:rFonts w:hint="eastAsia" w:ascii="宋体" w:hAnsi="宋体" w:eastAsia="Noto Sans CJK JP Black" w:cs="宋体"/>
          <w:bCs/>
          <w:color w:val="000000"/>
          <w:sz w:val="24"/>
          <w:szCs w:val="22"/>
          <w:lang w:val="en-US" w:eastAsia="zh-CN"/>
        </w:rPr>
        <w:t>瑞驰实业</w:t>
      </w:r>
      <w:r>
        <w:rPr>
          <w:rFonts w:hint="eastAsia" w:ascii="宋体" w:hAnsi="宋体" w:cs="宋体"/>
          <w:bCs/>
          <w:color w:val="000000"/>
          <w:sz w:val="24"/>
          <w:szCs w:val="22"/>
        </w:rPr>
        <w:t>新增的注册资</w:t>
      </w:r>
      <w:r>
        <w:rPr>
          <w:rFonts w:hint="eastAsia" w:ascii="宋体" w:hAnsi="宋体" w:eastAsia="Noto Sans CJK JP Black" w:cs="宋体"/>
          <w:bCs/>
          <w:color w:val="000000"/>
          <w:sz w:val="24"/>
          <w:szCs w:val="22"/>
          <w:lang w:val="en-US" w:eastAsia="zh-CN"/>
        </w:rPr>
        <w:t>本</w:t>
      </w:r>
      <w:r>
        <w:rPr>
          <w:rFonts w:hint="eastAsia" w:ascii="宋体" w:hAnsi="宋体" w:cs="宋体"/>
          <w:bCs/>
          <w:color w:val="000000"/>
          <w:sz w:val="24"/>
          <w:szCs w:val="22"/>
          <w:lang w:val="en-US" w:eastAsia="zh-CN"/>
        </w:rPr>
        <w:t>1,500</w:t>
      </w:r>
      <w:r>
        <w:rPr>
          <w:rFonts w:hint="eastAsia" w:ascii="宋体" w:hAnsi="宋体" w:cs="宋体"/>
          <w:bCs/>
          <w:color w:val="000000"/>
          <w:sz w:val="24"/>
          <w:szCs w:val="22"/>
        </w:rPr>
        <w:t>万元，</w:t>
      </w:r>
      <w:r>
        <w:rPr>
          <w:rFonts w:hint="eastAsia" w:ascii="宋体" w:hAnsi="宋体" w:eastAsia="宋体" w:cs="宋体"/>
          <w:bCs/>
          <w:color w:val="000000"/>
          <w:sz w:val="24"/>
          <w:szCs w:val="22"/>
          <w:lang w:val="en-US" w:eastAsia="zh-CN"/>
        </w:rPr>
        <w:t>其余部分</w:t>
      </w:r>
      <w:r>
        <w:rPr>
          <w:rFonts w:hint="eastAsia" w:ascii="宋体" w:hAnsi="宋体" w:cs="宋体"/>
          <w:bCs/>
          <w:color w:val="000000"/>
          <w:sz w:val="24"/>
          <w:szCs w:val="22"/>
        </w:rPr>
        <w:t>计入</w:t>
      </w:r>
      <w:r>
        <w:rPr>
          <w:rFonts w:hint="eastAsia" w:ascii="宋体" w:hAnsi="宋体" w:eastAsia="宋体" w:cs="宋体"/>
          <w:bCs/>
          <w:color w:val="000000"/>
          <w:sz w:val="24"/>
          <w:szCs w:val="22"/>
          <w:lang w:val="en-US" w:eastAsia="zh-CN"/>
        </w:rPr>
        <w:t>瑞驰实业</w:t>
      </w:r>
      <w:r>
        <w:rPr>
          <w:rFonts w:hint="eastAsia" w:ascii="宋体" w:hAnsi="宋体" w:cs="宋体"/>
          <w:bCs/>
          <w:color w:val="000000"/>
          <w:sz w:val="24"/>
          <w:szCs w:val="22"/>
        </w:rPr>
        <w:t>资本公积</w:t>
      </w:r>
      <w:r>
        <w:rPr>
          <w:rFonts w:hint="eastAsia" w:ascii="宋体" w:hAnsi="宋体" w:eastAsia="Noto Sans CJK JP Black" w:cs="宋体"/>
          <w:bCs/>
          <w:color w:val="000000"/>
          <w:sz w:val="24"/>
          <w:szCs w:val="22"/>
          <w:lang w:eastAsia="zh-CN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投资款用途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。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除协议另有规定外，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瑞驰实业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应将投资款及其孳息全部用于主营业务的运营和开发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，</w:t>
      </w:r>
      <w:r>
        <w:rPr>
          <w:rFonts w:hint="eastAsia" w:ascii="Times New Roman" w:hAnsi="Times New Roman" w:eastAsia="宋体"/>
          <w:color w:val="000000"/>
          <w:sz w:val="24"/>
          <w:szCs w:val="24"/>
        </w:rPr>
        <w:t>未经股东会决议事先同意，不得将投资款用于其他任何用途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投资款缴付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公司</w:t>
      </w:r>
      <w:r>
        <w:rPr>
          <w:rFonts w:hint="eastAsia" w:ascii="宋体" w:hAnsi="宋体" w:cs="宋体"/>
          <w:color w:val="000000"/>
          <w:kern w:val="0"/>
          <w:sz w:val="24"/>
        </w:rPr>
        <w:t>向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瑞驰实业</w:t>
      </w:r>
      <w:r>
        <w:rPr>
          <w:rFonts w:hint="eastAsia" w:ascii="宋体" w:hAnsi="宋体" w:cs="宋体"/>
          <w:color w:val="000000"/>
          <w:kern w:val="0"/>
          <w:sz w:val="24"/>
        </w:rPr>
        <w:t>指定银行账户一次性支付投资款。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eastAsia="zh-CN"/>
        </w:rPr>
        <w:t>4、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lang w:val="en-US" w:eastAsia="zh-CN"/>
        </w:rPr>
        <w:t>协议生效。</w:t>
      </w:r>
      <w:r>
        <w:rPr>
          <w:rFonts w:hint="eastAsia" w:ascii="宋体" w:hAnsi="宋体" w:cs="宋体"/>
          <w:color w:val="000000"/>
          <w:kern w:val="0"/>
          <w:sz w:val="24"/>
        </w:rPr>
        <w:t>协议经协议各方签署后生效。</w:t>
      </w:r>
    </w:p>
    <w:p>
      <w:pPr>
        <w:pStyle w:val="3"/>
        <w:numPr>
          <w:ilvl w:val="255"/>
          <w:numId w:val="0"/>
        </w:numPr>
        <w:autoSpaceDE/>
        <w:autoSpaceDN/>
        <w:adjustRightInd w:val="0"/>
        <w:snapToGrid w:val="0"/>
        <w:spacing w:before="157" w:beforeLines="50" w:after="157" w:afterLines="50" w:line="360" w:lineRule="auto"/>
        <w:ind w:left="440" w:leftChars="200" w:firstLine="0" w:firstLineChars="0"/>
        <w:outlineLvl w:val="0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highlight w:val="none"/>
        </w:rPr>
        <w:t>、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定价依据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基于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lang w:eastAsia="zh-CN"/>
        </w:rPr>
        <w:t>瑞驰实业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所处行业特点、当前发展阶段、未来发展潜力、参考同行业可比公司案例及前次估值，经友好协商，本次增资按每一元注册资本价格10元认缴新增注册资本。本次交易定价遵循了公平、公正及市场化定价原则，不会损害本公司及股东的利益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Noto Sans CJK JP Black" w:cs="宋体"/>
          <w:color w:val="000000"/>
          <w:kern w:val="0"/>
          <w:sz w:val="24"/>
          <w:szCs w:val="22"/>
          <w:lang w:val="en-US" w:eastAsia="zh-CN" w:bidi="ar"/>
        </w:rPr>
        <w:t>除公司参与本次增资外，瑞驰实业同时与</w:t>
      </w:r>
      <w:r>
        <w:rPr>
          <w:rFonts w:hint="eastAsia" w:ascii="宋体" w:hAnsi="宋体" w:eastAsia="Noto Sans CJK JP Black" w:cs="宋体"/>
          <w:color w:val="000000"/>
          <w:sz w:val="24"/>
          <w:szCs w:val="22"/>
        </w:rPr>
        <w:t>国家绿色发展基金股份有限公司</w:t>
      </w:r>
      <w:r>
        <w:rPr>
          <w:rFonts w:hint="eastAsia" w:ascii="宋体" w:hAnsi="宋体" w:eastAsia="Noto Sans CJK JP Black" w:cs="宋体"/>
          <w:color w:val="000000"/>
          <w:kern w:val="0"/>
          <w:sz w:val="24"/>
          <w:szCs w:val="22"/>
          <w:lang w:val="en-US" w:eastAsia="zh-CN" w:bidi="ar"/>
        </w:rPr>
        <w:t>、</w:t>
      </w:r>
      <w:r>
        <w:rPr>
          <w:rFonts w:hint="eastAsia" w:ascii="宋体" w:hAnsi="宋体" w:eastAsia="Noto Sans CJK JP Black" w:cs="宋体"/>
          <w:color w:val="000000"/>
          <w:sz w:val="24"/>
          <w:szCs w:val="22"/>
        </w:rPr>
        <w:t>重庆两江新区高质量发展产业私募股权投资基金合伙企业（有限合伙）</w:t>
      </w:r>
      <w:r>
        <w:rPr>
          <w:rFonts w:hint="eastAsia" w:ascii="宋体" w:hAnsi="宋体" w:eastAsia="Noto Sans CJK JP Black" w:cs="宋体"/>
          <w:color w:val="000000"/>
          <w:kern w:val="0"/>
          <w:sz w:val="24"/>
          <w:szCs w:val="22"/>
          <w:lang w:val="en-US" w:eastAsia="zh-CN" w:bidi="ar"/>
        </w:rPr>
        <w:t>、</w:t>
      </w:r>
      <w:r>
        <w:rPr>
          <w:rFonts w:hint="eastAsia" w:ascii="宋体" w:hAnsi="宋体" w:eastAsia="Noto Sans CJK JP Black" w:cs="宋体"/>
          <w:color w:val="000000"/>
          <w:sz w:val="24"/>
          <w:szCs w:val="22"/>
        </w:rPr>
        <w:t>嘉兴乾瞻衡远创业投资合伙企业（有限合伙）</w:t>
      </w:r>
      <w:r>
        <w:rPr>
          <w:rFonts w:hint="eastAsia" w:ascii="宋体" w:hAnsi="宋体" w:cs="宋体"/>
          <w:color w:val="000000"/>
          <w:sz w:val="24"/>
          <w:szCs w:val="22"/>
          <w:lang w:val="en-US" w:eastAsia="zh-CN"/>
        </w:rPr>
        <w:t>等投资方分别</w:t>
      </w:r>
      <w:r>
        <w:rPr>
          <w:rFonts w:hint="eastAsia" w:ascii="宋体" w:hAnsi="宋体" w:eastAsia="Noto Sans CJK JP Black" w:cs="宋体"/>
          <w:color w:val="000000"/>
          <w:kern w:val="0"/>
          <w:sz w:val="24"/>
          <w:szCs w:val="22"/>
          <w:lang w:val="en-US" w:eastAsia="zh-CN" w:bidi="ar"/>
        </w:rPr>
        <w:t>签订了增资协议，</w:t>
      </w:r>
      <w:r>
        <w:rPr>
          <w:rFonts w:hint="eastAsia" w:ascii="宋体" w:hAnsi="宋体" w:cs="宋体"/>
          <w:color w:val="000000"/>
          <w:kern w:val="0"/>
          <w:sz w:val="24"/>
          <w:szCs w:val="22"/>
          <w:lang w:val="en-US" w:eastAsia="zh-CN" w:bidi="ar"/>
        </w:rPr>
        <w:t>公司增资价格与其他投资方相同。</w:t>
      </w:r>
    </w:p>
    <w:p>
      <w:pPr>
        <w:pStyle w:val="3"/>
        <w:numPr>
          <w:ilvl w:val="255"/>
          <w:numId w:val="0"/>
        </w:numPr>
        <w:autoSpaceDE/>
        <w:autoSpaceDN/>
        <w:adjustRightInd w:val="0"/>
        <w:snapToGrid w:val="0"/>
        <w:spacing w:before="157" w:beforeLines="50" w:after="157" w:afterLines="50" w:line="360" w:lineRule="auto"/>
        <w:ind w:left="440" w:leftChars="200" w:firstLine="0" w:firstLineChars="0"/>
        <w:outlineLvl w:val="0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highlight w:val="none"/>
        </w:rPr>
        <w:t xml:space="preserve">、交易目的和对公司的影响 </w:t>
      </w:r>
    </w:p>
    <w:p>
      <w:pPr>
        <w:pStyle w:val="3"/>
        <w:numPr>
          <w:ilvl w:val="-1"/>
          <w:numId w:val="0"/>
        </w:numPr>
        <w:adjustRightInd w:val="0"/>
        <w:snapToGrid w:val="0"/>
        <w:spacing w:before="0" w:beforeLines="0" w:after="0" w:afterLines="0" w:line="360" w:lineRule="auto"/>
        <w:ind w:left="0" w:firstLine="480" w:firstLineChars="200"/>
        <w:jc w:val="both"/>
        <w:outlineLvl w:val="0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highlight w:val="none"/>
        </w:rPr>
        <w:t>1、</w:t>
      </w:r>
      <w:r>
        <w:rPr>
          <w:rFonts w:hint="eastAsia" w:ascii="宋体" w:hAnsi="宋体" w:eastAsia="宋体" w:cs="宋体"/>
          <w:highlight w:val="none"/>
          <w:lang w:val="en-US" w:eastAsia="zh-CN"/>
        </w:rPr>
        <w:t>公司主营业务为供应链物流服务，</w:t>
      </w:r>
      <w:r>
        <w:rPr>
          <w:rFonts w:hint="eastAsia" w:ascii="宋体" w:hAnsi="宋体" w:eastAsia="宋体" w:cs="宋体"/>
          <w:sz w:val="24"/>
          <w:highlight w:val="none"/>
          <w:shd w:val="clear" w:fill="auto"/>
          <w:lang w:val="en-US" w:eastAsia="zh-CN"/>
        </w:rPr>
        <w:t>标的公司主营业务为物流车生产与销售，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 w:bidi="ar"/>
        </w:rPr>
        <w:t>本次投资旨在加强公司与供应链物流产业链上游的合作，加强公司未来在物流车采购等方面的合作优势，有利于提高公司运力保障能力，符合公司的业务发展需要。</w:t>
      </w:r>
    </w:p>
    <w:p>
      <w:pPr>
        <w:pStyle w:val="3"/>
        <w:numPr>
          <w:ilvl w:val="-1"/>
          <w:numId w:val="0"/>
        </w:numPr>
        <w:adjustRightInd w:val="0"/>
        <w:snapToGrid w:val="0"/>
        <w:spacing w:before="0" w:beforeLines="0" w:after="0" w:afterLines="0" w:line="360" w:lineRule="auto"/>
        <w:ind w:left="0" w:firstLine="480" w:firstLineChars="200"/>
        <w:jc w:val="both"/>
        <w:outlineLvl w:val="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 w:bidi="ar"/>
        </w:rPr>
        <w:t>2、本协议的签署预计对公司当期财务状况和经营成果不构成重大影响，</w:t>
      </w:r>
      <w:r>
        <w:rPr>
          <w:rFonts w:hint="eastAsia" w:ascii="宋体" w:hAnsi="宋体" w:eastAsia="宋体" w:cs="宋体"/>
          <w:highlight w:val="none"/>
        </w:rPr>
        <w:t>本次交易的资金来源于公司自有或自筹资金，不会对公司财务及经营状况产生重大不利影响，不存在损害公司及股东利益的情形。</w:t>
      </w:r>
    </w:p>
    <w:p>
      <w:pPr>
        <w:pStyle w:val="3"/>
        <w:numPr>
          <w:ilvl w:val="255"/>
          <w:numId w:val="0"/>
        </w:numPr>
        <w:autoSpaceDE/>
        <w:autoSpaceDN/>
        <w:adjustRightInd w:val="0"/>
        <w:snapToGrid w:val="0"/>
        <w:spacing w:before="157" w:beforeLines="50" w:after="157" w:afterLines="50" w:line="360" w:lineRule="auto"/>
        <w:ind w:left="440" w:leftChars="200" w:firstLine="0" w:firstLineChars="0"/>
        <w:jc w:val="left"/>
        <w:outlineLvl w:val="0"/>
        <w:rPr>
          <w:rFonts w:hint="eastAsia" w:ascii="宋体" w:hAnsi="宋体" w:eastAsia="宋体" w:cs="宋体"/>
          <w:b/>
          <w:bCs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六、风险提示</w:t>
      </w:r>
    </w:p>
    <w:p>
      <w:pPr>
        <w:pStyle w:val="3"/>
        <w:numPr>
          <w:ilvl w:val="-1"/>
          <w:numId w:val="0"/>
        </w:numPr>
        <w:adjustRightInd w:val="0"/>
        <w:snapToGrid w:val="0"/>
        <w:spacing w:before="0" w:beforeLines="0" w:after="0" w:afterLines="0" w:line="360" w:lineRule="auto"/>
        <w:ind w:left="0" w:firstLine="480" w:firstLineChars="200"/>
        <w:jc w:val="both"/>
        <w:outlineLvl w:val="0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highlight w:val="none"/>
          <w:lang w:val="en-US" w:eastAsia="zh-CN" w:bidi="ar"/>
        </w:rPr>
        <w:t>1、标的公司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 w:bidi="ar"/>
        </w:rPr>
        <w:t xml:space="preserve">未来经营过程中可能面临行业环境、市场变化、宏观政策等因素的影响，未来经营情况存在不确定性，存在财务投资风险，可能对公司损益产生不利影响，敬请广大投资者注意投资风险。 </w:t>
      </w:r>
    </w:p>
    <w:p>
      <w:pPr>
        <w:pStyle w:val="3"/>
        <w:numPr>
          <w:ilvl w:val="-1"/>
          <w:numId w:val="0"/>
        </w:numPr>
        <w:adjustRightInd w:val="0"/>
        <w:snapToGrid w:val="0"/>
        <w:spacing w:before="0" w:beforeLines="0" w:after="0" w:afterLines="0" w:line="360" w:lineRule="auto"/>
        <w:ind w:left="0" w:firstLine="480" w:firstLineChars="200"/>
        <w:jc w:val="both"/>
        <w:outlineLvl w:val="0"/>
        <w:rPr>
          <w:rFonts w:hint="eastAsia" w:ascii="宋体" w:hAnsi="宋体" w:eastAsia="宋体" w:cs="宋体"/>
          <w:highlight w:val="none"/>
          <w:lang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 w:bidi="ar"/>
        </w:rPr>
        <w:t>2、本次合作主要出于加强公司产业链上游合作及财务投资考虑，公司不涉及汽车制造相关业务。</w:t>
      </w:r>
      <w:r>
        <w:rPr>
          <w:rFonts w:hint="eastAsia" w:ascii="宋体" w:hAnsi="宋体" w:eastAsia="宋体" w:cs="宋体"/>
          <w:highlight w:val="none"/>
          <w:lang w:bidi="ar"/>
        </w:rPr>
        <w:t>公司信息均以指定信息披露媒体巨潮资讯网（http://www.cninfo.com.cn）刊登的信息为准。</w:t>
      </w:r>
    </w:p>
    <w:p>
      <w:pPr>
        <w:pStyle w:val="3"/>
        <w:numPr>
          <w:ilvl w:val="255"/>
          <w:numId w:val="0"/>
        </w:numPr>
        <w:autoSpaceDE/>
        <w:autoSpaceDN/>
        <w:adjustRightInd w:val="0"/>
        <w:snapToGrid w:val="0"/>
        <w:spacing w:before="157" w:beforeLines="50" w:after="157" w:afterLines="50" w:line="360" w:lineRule="auto"/>
        <w:ind w:left="440" w:leftChars="200" w:firstLine="0" w:firstLineChars="0"/>
        <w:outlineLvl w:val="0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highlight w:val="none"/>
        </w:rPr>
        <w:t xml:space="preserve">、备查文件 </w:t>
      </w:r>
    </w:p>
    <w:p>
      <w:pPr>
        <w:pStyle w:val="3"/>
        <w:adjustRightInd w:val="0"/>
        <w:snapToGrid w:val="0"/>
        <w:spacing w:before="0" w:beforeLines="0" w:after="0" w:afterLines="0" w:line="360" w:lineRule="auto"/>
        <w:ind w:left="0" w:firstLine="480" w:firstLineChars="200"/>
        <w:outlineLvl w:val="9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增资协议。</w:t>
      </w:r>
    </w:p>
    <w:p>
      <w:pPr>
        <w:pStyle w:val="3"/>
        <w:adjustRightInd w:val="0"/>
        <w:snapToGrid w:val="0"/>
        <w:spacing w:before="0" w:beforeLines="0" w:after="0" w:afterLines="0" w:line="360" w:lineRule="auto"/>
        <w:ind w:left="0" w:firstLine="480" w:firstLineChars="200"/>
        <w:outlineLvl w:val="9"/>
        <w:rPr>
          <w:rFonts w:hint="eastAsia" w:ascii="宋体" w:hAnsi="宋体" w:eastAsia="宋体" w:cs="宋体"/>
          <w:highlight w:val="none"/>
        </w:rPr>
      </w:pPr>
    </w:p>
    <w:p>
      <w:pPr>
        <w:pStyle w:val="3"/>
        <w:adjustRightInd w:val="0"/>
        <w:snapToGrid w:val="0"/>
        <w:spacing w:before="0" w:beforeLines="0" w:after="0" w:afterLines="0" w:line="360" w:lineRule="auto"/>
        <w:ind w:left="0" w:firstLine="480" w:firstLineChars="200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特此公告。</w:t>
      </w:r>
    </w:p>
    <w:p>
      <w:pPr>
        <w:pStyle w:val="3"/>
        <w:spacing w:before="0" w:beforeLines="0" w:after="0" w:afterLines="0" w:line="360" w:lineRule="auto"/>
        <w:ind w:left="0" w:right="85" w:firstLine="482" w:firstLineChars="200"/>
        <w:jc w:val="right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江苏海晨物流股份有限公司</w:t>
      </w:r>
    </w:p>
    <w:p>
      <w:pPr>
        <w:pStyle w:val="3"/>
        <w:spacing w:before="0" w:beforeLines="0" w:after="0" w:afterLines="0" w:line="360" w:lineRule="auto"/>
        <w:ind w:left="0" w:right="85" w:firstLine="482" w:firstLineChars="200"/>
        <w:jc w:val="right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董事会</w:t>
      </w:r>
    </w:p>
    <w:p>
      <w:pPr>
        <w:pStyle w:val="3"/>
        <w:spacing w:before="0" w:beforeLines="0" w:after="0" w:afterLines="0" w:line="360" w:lineRule="auto"/>
        <w:ind w:left="0" w:right="85" w:firstLine="482" w:firstLineChars="200"/>
        <w:jc w:val="right"/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</w:rPr>
        <w:t>2023年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1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highlight w:val="none"/>
        </w:rPr>
        <w:t>月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2</w:t>
      </w: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highlight w:val="none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Black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Noto Sans CJK JP Medium">
    <w:altName w:val="Calibri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1597647"/>
    </w:sdtPr>
    <w:sdtContent>
      <w:sdt>
        <w:sdtPr>
          <w:id w:val="1728636285"/>
        </w:sdtPr>
        <w:sdtContent>
          <w:p>
            <w:pPr>
              <w:pStyle w:val="8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3ZGFhMzBkZTM5OTRjMmU4YmRkOTYxZmY5OWFkODMifQ=="/>
  </w:docVars>
  <w:rsids>
    <w:rsidRoot w:val="00234C53"/>
    <w:rsid w:val="0000320C"/>
    <w:rsid w:val="00016717"/>
    <w:rsid w:val="000275C1"/>
    <w:rsid w:val="000307A8"/>
    <w:rsid w:val="00032615"/>
    <w:rsid w:val="00034C35"/>
    <w:rsid w:val="000365E2"/>
    <w:rsid w:val="00044CA6"/>
    <w:rsid w:val="00051116"/>
    <w:rsid w:val="00054455"/>
    <w:rsid w:val="000554B0"/>
    <w:rsid w:val="00057734"/>
    <w:rsid w:val="000612AE"/>
    <w:rsid w:val="00074732"/>
    <w:rsid w:val="0009577D"/>
    <w:rsid w:val="00095A8E"/>
    <w:rsid w:val="00096137"/>
    <w:rsid w:val="000C145B"/>
    <w:rsid w:val="000C5BEC"/>
    <w:rsid w:val="000D1E75"/>
    <w:rsid w:val="000D3984"/>
    <w:rsid w:val="000D6F8C"/>
    <w:rsid w:val="000E19B9"/>
    <w:rsid w:val="000F5E30"/>
    <w:rsid w:val="001072E4"/>
    <w:rsid w:val="00112B08"/>
    <w:rsid w:val="00114D04"/>
    <w:rsid w:val="001301D5"/>
    <w:rsid w:val="00133892"/>
    <w:rsid w:val="00135672"/>
    <w:rsid w:val="0013683E"/>
    <w:rsid w:val="00137606"/>
    <w:rsid w:val="001401EC"/>
    <w:rsid w:val="00161C82"/>
    <w:rsid w:val="00163834"/>
    <w:rsid w:val="00171A1B"/>
    <w:rsid w:val="00194965"/>
    <w:rsid w:val="001A0B99"/>
    <w:rsid w:val="001A0E0E"/>
    <w:rsid w:val="001B0C03"/>
    <w:rsid w:val="001B15C5"/>
    <w:rsid w:val="001C6CCC"/>
    <w:rsid w:val="001D37E3"/>
    <w:rsid w:val="001D7469"/>
    <w:rsid w:val="001E0ADA"/>
    <w:rsid w:val="001E3F70"/>
    <w:rsid w:val="001F2D39"/>
    <w:rsid w:val="001F2F0B"/>
    <w:rsid w:val="001F50EE"/>
    <w:rsid w:val="002037A6"/>
    <w:rsid w:val="00206A33"/>
    <w:rsid w:val="00212316"/>
    <w:rsid w:val="00213B3B"/>
    <w:rsid w:val="00215461"/>
    <w:rsid w:val="00215E27"/>
    <w:rsid w:val="00217A27"/>
    <w:rsid w:val="00217B63"/>
    <w:rsid w:val="00217FB7"/>
    <w:rsid w:val="00220A28"/>
    <w:rsid w:val="00222AFD"/>
    <w:rsid w:val="002274BA"/>
    <w:rsid w:val="00231523"/>
    <w:rsid w:val="00234C53"/>
    <w:rsid w:val="00235911"/>
    <w:rsid w:val="00250036"/>
    <w:rsid w:val="002539CF"/>
    <w:rsid w:val="00254D08"/>
    <w:rsid w:val="002606B5"/>
    <w:rsid w:val="00265B9B"/>
    <w:rsid w:val="00272F32"/>
    <w:rsid w:val="00283CDD"/>
    <w:rsid w:val="002907D7"/>
    <w:rsid w:val="00293754"/>
    <w:rsid w:val="00296268"/>
    <w:rsid w:val="00296C6C"/>
    <w:rsid w:val="002B2D17"/>
    <w:rsid w:val="002B798B"/>
    <w:rsid w:val="002C03D5"/>
    <w:rsid w:val="002C3F2A"/>
    <w:rsid w:val="002C583B"/>
    <w:rsid w:val="002D08C6"/>
    <w:rsid w:val="002D7130"/>
    <w:rsid w:val="002E1546"/>
    <w:rsid w:val="002F020A"/>
    <w:rsid w:val="002F59FF"/>
    <w:rsid w:val="002F5BB6"/>
    <w:rsid w:val="003010FA"/>
    <w:rsid w:val="003063F5"/>
    <w:rsid w:val="00313E93"/>
    <w:rsid w:val="003167D7"/>
    <w:rsid w:val="00320310"/>
    <w:rsid w:val="00320FDB"/>
    <w:rsid w:val="00325C5C"/>
    <w:rsid w:val="0032735F"/>
    <w:rsid w:val="0033792D"/>
    <w:rsid w:val="00342091"/>
    <w:rsid w:val="003422FD"/>
    <w:rsid w:val="00345871"/>
    <w:rsid w:val="0035167E"/>
    <w:rsid w:val="0035583E"/>
    <w:rsid w:val="003613D7"/>
    <w:rsid w:val="00364386"/>
    <w:rsid w:val="00364F9C"/>
    <w:rsid w:val="00366DA1"/>
    <w:rsid w:val="0037150E"/>
    <w:rsid w:val="00371AF8"/>
    <w:rsid w:val="00372E24"/>
    <w:rsid w:val="00373C04"/>
    <w:rsid w:val="003745B8"/>
    <w:rsid w:val="00375C19"/>
    <w:rsid w:val="00377F69"/>
    <w:rsid w:val="003878C3"/>
    <w:rsid w:val="00387ADA"/>
    <w:rsid w:val="00390269"/>
    <w:rsid w:val="00392080"/>
    <w:rsid w:val="00395ECB"/>
    <w:rsid w:val="003A63E2"/>
    <w:rsid w:val="003A6A5A"/>
    <w:rsid w:val="003B47A8"/>
    <w:rsid w:val="003C5119"/>
    <w:rsid w:val="003C6C77"/>
    <w:rsid w:val="003D2106"/>
    <w:rsid w:val="003D2611"/>
    <w:rsid w:val="003D3C7F"/>
    <w:rsid w:val="003D611F"/>
    <w:rsid w:val="003D7583"/>
    <w:rsid w:val="003E7099"/>
    <w:rsid w:val="003E7D6A"/>
    <w:rsid w:val="003F0545"/>
    <w:rsid w:val="0040699D"/>
    <w:rsid w:val="0041014C"/>
    <w:rsid w:val="00412061"/>
    <w:rsid w:val="00416109"/>
    <w:rsid w:val="00422B9B"/>
    <w:rsid w:val="004244F9"/>
    <w:rsid w:val="00426424"/>
    <w:rsid w:val="004413A5"/>
    <w:rsid w:val="004455EF"/>
    <w:rsid w:val="0047131F"/>
    <w:rsid w:val="004718A3"/>
    <w:rsid w:val="00493083"/>
    <w:rsid w:val="00494A89"/>
    <w:rsid w:val="004B0450"/>
    <w:rsid w:val="004B1E6C"/>
    <w:rsid w:val="004B4391"/>
    <w:rsid w:val="004B6191"/>
    <w:rsid w:val="004C1607"/>
    <w:rsid w:val="004C1DBA"/>
    <w:rsid w:val="004C5ADD"/>
    <w:rsid w:val="004C7816"/>
    <w:rsid w:val="004D6FCE"/>
    <w:rsid w:val="004E2FE6"/>
    <w:rsid w:val="004E43E0"/>
    <w:rsid w:val="004E5B2A"/>
    <w:rsid w:val="004F3264"/>
    <w:rsid w:val="005122C5"/>
    <w:rsid w:val="005150C5"/>
    <w:rsid w:val="0051533F"/>
    <w:rsid w:val="005252D4"/>
    <w:rsid w:val="00530C88"/>
    <w:rsid w:val="00541E30"/>
    <w:rsid w:val="005504AA"/>
    <w:rsid w:val="005519BB"/>
    <w:rsid w:val="0055486A"/>
    <w:rsid w:val="0055505D"/>
    <w:rsid w:val="0056043E"/>
    <w:rsid w:val="00572E35"/>
    <w:rsid w:val="005759BF"/>
    <w:rsid w:val="005821EE"/>
    <w:rsid w:val="005827C8"/>
    <w:rsid w:val="005841C9"/>
    <w:rsid w:val="00593274"/>
    <w:rsid w:val="00597D78"/>
    <w:rsid w:val="005A624E"/>
    <w:rsid w:val="005B1B0F"/>
    <w:rsid w:val="005B30AB"/>
    <w:rsid w:val="005C2860"/>
    <w:rsid w:val="005C4D55"/>
    <w:rsid w:val="005D0E74"/>
    <w:rsid w:val="005D3A85"/>
    <w:rsid w:val="005E07F3"/>
    <w:rsid w:val="005E1BAF"/>
    <w:rsid w:val="005E5DF7"/>
    <w:rsid w:val="005F0850"/>
    <w:rsid w:val="005F2C07"/>
    <w:rsid w:val="005F4AA5"/>
    <w:rsid w:val="0060268B"/>
    <w:rsid w:val="00603185"/>
    <w:rsid w:val="00620082"/>
    <w:rsid w:val="006227FD"/>
    <w:rsid w:val="00636E76"/>
    <w:rsid w:val="00645503"/>
    <w:rsid w:val="0064557F"/>
    <w:rsid w:val="00647932"/>
    <w:rsid w:val="0065355A"/>
    <w:rsid w:val="00657B62"/>
    <w:rsid w:val="00666578"/>
    <w:rsid w:val="006665A8"/>
    <w:rsid w:val="00670371"/>
    <w:rsid w:val="0067733B"/>
    <w:rsid w:val="00696E52"/>
    <w:rsid w:val="006B24B0"/>
    <w:rsid w:val="006C0B4D"/>
    <w:rsid w:val="006D0EA3"/>
    <w:rsid w:val="006D2407"/>
    <w:rsid w:val="006E032A"/>
    <w:rsid w:val="006E194E"/>
    <w:rsid w:val="006E1DB1"/>
    <w:rsid w:val="006E22D5"/>
    <w:rsid w:val="006E2F31"/>
    <w:rsid w:val="006E3F04"/>
    <w:rsid w:val="006F2316"/>
    <w:rsid w:val="00700F28"/>
    <w:rsid w:val="0070285E"/>
    <w:rsid w:val="007029A6"/>
    <w:rsid w:val="00710864"/>
    <w:rsid w:val="00716581"/>
    <w:rsid w:val="0071723B"/>
    <w:rsid w:val="00720755"/>
    <w:rsid w:val="00721ED9"/>
    <w:rsid w:val="007221BA"/>
    <w:rsid w:val="0072279D"/>
    <w:rsid w:val="007253E8"/>
    <w:rsid w:val="0073086B"/>
    <w:rsid w:val="00736AE2"/>
    <w:rsid w:val="007402A8"/>
    <w:rsid w:val="00742B34"/>
    <w:rsid w:val="00742D6D"/>
    <w:rsid w:val="00743FFD"/>
    <w:rsid w:val="00757C4F"/>
    <w:rsid w:val="007612C1"/>
    <w:rsid w:val="007661A4"/>
    <w:rsid w:val="00782371"/>
    <w:rsid w:val="0078381B"/>
    <w:rsid w:val="00786F69"/>
    <w:rsid w:val="007945CE"/>
    <w:rsid w:val="0079665E"/>
    <w:rsid w:val="007A1868"/>
    <w:rsid w:val="007B18D4"/>
    <w:rsid w:val="007B225A"/>
    <w:rsid w:val="007C4A7F"/>
    <w:rsid w:val="007D2F41"/>
    <w:rsid w:val="007E0E72"/>
    <w:rsid w:val="007E11FB"/>
    <w:rsid w:val="007E13A4"/>
    <w:rsid w:val="007E48EE"/>
    <w:rsid w:val="007F1880"/>
    <w:rsid w:val="00802D9A"/>
    <w:rsid w:val="00803520"/>
    <w:rsid w:val="00803E8C"/>
    <w:rsid w:val="0080452A"/>
    <w:rsid w:val="00804A93"/>
    <w:rsid w:val="00810913"/>
    <w:rsid w:val="00820AC8"/>
    <w:rsid w:val="00821833"/>
    <w:rsid w:val="0082456C"/>
    <w:rsid w:val="00842350"/>
    <w:rsid w:val="00854225"/>
    <w:rsid w:val="00856967"/>
    <w:rsid w:val="0087157A"/>
    <w:rsid w:val="00880265"/>
    <w:rsid w:val="008820D7"/>
    <w:rsid w:val="00884116"/>
    <w:rsid w:val="00896A2F"/>
    <w:rsid w:val="008A18FC"/>
    <w:rsid w:val="008A3CCA"/>
    <w:rsid w:val="008A4B3D"/>
    <w:rsid w:val="008B3231"/>
    <w:rsid w:val="008C61DF"/>
    <w:rsid w:val="008D6667"/>
    <w:rsid w:val="008D6937"/>
    <w:rsid w:val="008E044E"/>
    <w:rsid w:val="008F04AE"/>
    <w:rsid w:val="008F474C"/>
    <w:rsid w:val="00900B7F"/>
    <w:rsid w:val="009079E5"/>
    <w:rsid w:val="00913294"/>
    <w:rsid w:val="009362DE"/>
    <w:rsid w:val="00944249"/>
    <w:rsid w:val="009449FB"/>
    <w:rsid w:val="00944EE7"/>
    <w:rsid w:val="00953738"/>
    <w:rsid w:val="00954931"/>
    <w:rsid w:val="00956A86"/>
    <w:rsid w:val="00957145"/>
    <w:rsid w:val="009641A0"/>
    <w:rsid w:val="00967A8C"/>
    <w:rsid w:val="00971837"/>
    <w:rsid w:val="009732B1"/>
    <w:rsid w:val="00973DEF"/>
    <w:rsid w:val="00980B06"/>
    <w:rsid w:val="00981031"/>
    <w:rsid w:val="00982D4D"/>
    <w:rsid w:val="009905C0"/>
    <w:rsid w:val="00990A0C"/>
    <w:rsid w:val="00992775"/>
    <w:rsid w:val="009971C8"/>
    <w:rsid w:val="009A0AAD"/>
    <w:rsid w:val="009A1283"/>
    <w:rsid w:val="009B5CC2"/>
    <w:rsid w:val="009E472C"/>
    <w:rsid w:val="009F356E"/>
    <w:rsid w:val="009F3B92"/>
    <w:rsid w:val="00A02F75"/>
    <w:rsid w:val="00A03BE4"/>
    <w:rsid w:val="00A05A19"/>
    <w:rsid w:val="00A101D4"/>
    <w:rsid w:val="00A35AE8"/>
    <w:rsid w:val="00A36801"/>
    <w:rsid w:val="00A42877"/>
    <w:rsid w:val="00A5421D"/>
    <w:rsid w:val="00A57058"/>
    <w:rsid w:val="00A71554"/>
    <w:rsid w:val="00A72BCA"/>
    <w:rsid w:val="00A84091"/>
    <w:rsid w:val="00A84F6C"/>
    <w:rsid w:val="00A913F1"/>
    <w:rsid w:val="00A91B00"/>
    <w:rsid w:val="00A95C7E"/>
    <w:rsid w:val="00AA0C2A"/>
    <w:rsid w:val="00AB009D"/>
    <w:rsid w:val="00AC1945"/>
    <w:rsid w:val="00AD30F6"/>
    <w:rsid w:val="00AD5927"/>
    <w:rsid w:val="00AD6681"/>
    <w:rsid w:val="00AD797C"/>
    <w:rsid w:val="00AE020B"/>
    <w:rsid w:val="00AE14FC"/>
    <w:rsid w:val="00AE1C80"/>
    <w:rsid w:val="00AE4786"/>
    <w:rsid w:val="00AE7167"/>
    <w:rsid w:val="00AE74BF"/>
    <w:rsid w:val="00AF0089"/>
    <w:rsid w:val="00AF5485"/>
    <w:rsid w:val="00B00D21"/>
    <w:rsid w:val="00B1003B"/>
    <w:rsid w:val="00B125EB"/>
    <w:rsid w:val="00B14D69"/>
    <w:rsid w:val="00B16D40"/>
    <w:rsid w:val="00B206E8"/>
    <w:rsid w:val="00B2455A"/>
    <w:rsid w:val="00B34603"/>
    <w:rsid w:val="00B34E78"/>
    <w:rsid w:val="00B41A0F"/>
    <w:rsid w:val="00B4306A"/>
    <w:rsid w:val="00B54D86"/>
    <w:rsid w:val="00B632F6"/>
    <w:rsid w:val="00B65A5A"/>
    <w:rsid w:val="00B725E0"/>
    <w:rsid w:val="00B76FDF"/>
    <w:rsid w:val="00B7784C"/>
    <w:rsid w:val="00B80238"/>
    <w:rsid w:val="00B820DE"/>
    <w:rsid w:val="00B82E29"/>
    <w:rsid w:val="00B92C84"/>
    <w:rsid w:val="00B939B7"/>
    <w:rsid w:val="00B9757A"/>
    <w:rsid w:val="00BA54B7"/>
    <w:rsid w:val="00BB2721"/>
    <w:rsid w:val="00BB4CEA"/>
    <w:rsid w:val="00BB5DD6"/>
    <w:rsid w:val="00BB7E0A"/>
    <w:rsid w:val="00BC1B9E"/>
    <w:rsid w:val="00BC4D2A"/>
    <w:rsid w:val="00BD3BBB"/>
    <w:rsid w:val="00BE21A6"/>
    <w:rsid w:val="00BE2913"/>
    <w:rsid w:val="00BE3B23"/>
    <w:rsid w:val="00BE4FA0"/>
    <w:rsid w:val="00BF04E6"/>
    <w:rsid w:val="00BF46C5"/>
    <w:rsid w:val="00BF4E01"/>
    <w:rsid w:val="00C05993"/>
    <w:rsid w:val="00C22373"/>
    <w:rsid w:val="00C243D8"/>
    <w:rsid w:val="00C24C55"/>
    <w:rsid w:val="00C43D53"/>
    <w:rsid w:val="00C44680"/>
    <w:rsid w:val="00C50689"/>
    <w:rsid w:val="00C52354"/>
    <w:rsid w:val="00C54397"/>
    <w:rsid w:val="00C5577A"/>
    <w:rsid w:val="00C646EE"/>
    <w:rsid w:val="00C70240"/>
    <w:rsid w:val="00C82431"/>
    <w:rsid w:val="00C82F4F"/>
    <w:rsid w:val="00C84C28"/>
    <w:rsid w:val="00C86E71"/>
    <w:rsid w:val="00C9005A"/>
    <w:rsid w:val="00CA0FFA"/>
    <w:rsid w:val="00CA1ADF"/>
    <w:rsid w:val="00CA22F7"/>
    <w:rsid w:val="00CB0D08"/>
    <w:rsid w:val="00CB3B59"/>
    <w:rsid w:val="00CB4F21"/>
    <w:rsid w:val="00CC473B"/>
    <w:rsid w:val="00CC4C58"/>
    <w:rsid w:val="00CD5044"/>
    <w:rsid w:val="00CD75F0"/>
    <w:rsid w:val="00CE2C0B"/>
    <w:rsid w:val="00CE5C82"/>
    <w:rsid w:val="00CE70DD"/>
    <w:rsid w:val="00CF6FF9"/>
    <w:rsid w:val="00D01586"/>
    <w:rsid w:val="00D033CD"/>
    <w:rsid w:val="00D06983"/>
    <w:rsid w:val="00D15450"/>
    <w:rsid w:val="00D17918"/>
    <w:rsid w:val="00D20BB4"/>
    <w:rsid w:val="00D2462C"/>
    <w:rsid w:val="00D2481D"/>
    <w:rsid w:val="00D43EF2"/>
    <w:rsid w:val="00D618B9"/>
    <w:rsid w:val="00D67978"/>
    <w:rsid w:val="00D702E4"/>
    <w:rsid w:val="00D77386"/>
    <w:rsid w:val="00D85F8B"/>
    <w:rsid w:val="00D91900"/>
    <w:rsid w:val="00D93452"/>
    <w:rsid w:val="00DA4F48"/>
    <w:rsid w:val="00DB3571"/>
    <w:rsid w:val="00DB3AD7"/>
    <w:rsid w:val="00DB46D4"/>
    <w:rsid w:val="00DB682D"/>
    <w:rsid w:val="00DC23D5"/>
    <w:rsid w:val="00DC4A23"/>
    <w:rsid w:val="00DC756A"/>
    <w:rsid w:val="00DD7C81"/>
    <w:rsid w:val="00DE7B89"/>
    <w:rsid w:val="00DF327D"/>
    <w:rsid w:val="00E05D83"/>
    <w:rsid w:val="00E068BF"/>
    <w:rsid w:val="00E17D40"/>
    <w:rsid w:val="00E20567"/>
    <w:rsid w:val="00E225E8"/>
    <w:rsid w:val="00E23B38"/>
    <w:rsid w:val="00E27DF6"/>
    <w:rsid w:val="00E33316"/>
    <w:rsid w:val="00E33AC7"/>
    <w:rsid w:val="00E37145"/>
    <w:rsid w:val="00E4258E"/>
    <w:rsid w:val="00E47E31"/>
    <w:rsid w:val="00E50D93"/>
    <w:rsid w:val="00E569D2"/>
    <w:rsid w:val="00E5700F"/>
    <w:rsid w:val="00E574A6"/>
    <w:rsid w:val="00E75C1F"/>
    <w:rsid w:val="00E773A5"/>
    <w:rsid w:val="00E84A3C"/>
    <w:rsid w:val="00E863B9"/>
    <w:rsid w:val="00E86F7F"/>
    <w:rsid w:val="00E942C1"/>
    <w:rsid w:val="00E95D16"/>
    <w:rsid w:val="00EA489E"/>
    <w:rsid w:val="00EA584D"/>
    <w:rsid w:val="00EB1EEE"/>
    <w:rsid w:val="00EC2313"/>
    <w:rsid w:val="00EC6302"/>
    <w:rsid w:val="00ED38E9"/>
    <w:rsid w:val="00ED3A3F"/>
    <w:rsid w:val="00ED7AE6"/>
    <w:rsid w:val="00EE59A2"/>
    <w:rsid w:val="00F065CC"/>
    <w:rsid w:val="00F1501D"/>
    <w:rsid w:val="00F30BD2"/>
    <w:rsid w:val="00F372F1"/>
    <w:rsid w:val="00F4594D"/>
    <w:rsid w:val="00F4639C"/>
    <w:rsid w:val="00F47C48"/>
    <w:rsid w:val="00F55415"/>
    <w:rsid w:val="00F60564"/>
    <w:rsid w:val="00F60F2F"/>
    <w:rsid w:val="00F6722A"/>
    <w:rsid w:val="00F82314"/>
    <w:rsid w:val="00F837B7"/>
    <w:rsid w:val="00F877DD"/>
    <w:rsid w:val="00FA457E"/>
    <w:rsid w:val="00FB120C"/>
    <w:rsid w:val="00FC06B6"/>
    <w:rsid w:val="00FD0397"/>
    <w:rsid w:val="00FD073A"/>
    <w:rsid w:val="00FF2F27"/>
    <w:rsid w:val="00FF44A3"/>
    <w:rsid w:val="01CB22F9"/>
    <w:rsid w:val="02704AC1"/>
    <w:rsid w:val="03B1713F"/>
    <w:rsid w:val="03F434D0"/>
    <w:rsid w:val="049A7BD3"/>
    <w:rsid w:val="07EF1088"/>
    <w:rsid w:val="09B434E5"/>
    <w:rsid w:val="0AD51D6D"/>
    <w:rsid w:val="0C7B0D70"/>
    <w:rsid w:val="0CF142E9"/>
    <w:rsid w:val="0DDA50E7"/>
    <w:rsid w:val="0F544277"/>
    <w:rsid w:val="109B0FB6"/>
    <w:rsid w:val="10A87B1C"/>
    <w:rsid w:val="11E43BE6"/>
    <w:rsid w:val="13B10A95"/>
    <w:rsid w:val="144B5E81"/>
    <w:rsid w:val="15406575"/>
    <w:rsid w:val="16332DEF"/>
    <w:rsid w:val="17702A0E"/>
    <w:rsid w:val="186A7D3A"/>
    <w:rsid w:val="1AFB3169"/>
    <w:rsid w:val="1B354CC4"/>
    <w:rsid w:val="1B925650"/>
    <w:rsid w:val="1CBF2FF6"/>
    <w:rsid w:val="1CC205CB"/>
    <w:rsid w:val="1EF06916"/>
    <w:rsid w:val="22B35BDB"/>
    <w:rsid w:val="24523BCF"/>
    <w:rsid w:val="24DF3E0D"/>
    <w:rsid w:val="269229A8"/>
    <w:rsid w:val="27F84A8D"/>
    <w:rsid w:val="282633A8"/>
    <w:rsid w:val="293164A9"/>
    <w:rsid w:val="2965512F"/>
    <w:rsid w:val="299F1664"/>
    <w:rsid w:val="29BF1D06"/>
    <w:rsid w:val="2A383867"/>
    <w:rsid w:val="2C961025"/>
    <w:rsid w:val="2D6055AE"/>
    <w:rsid w:val="2DD35D80"/>
    <w:rsid w:val="2DED6716"/>
    <w:rsid w:val="2E7E539C"/>
    <w:rsid w:val="34363C14"/>
    <w:rsid w:val="3701395E"/>
    <w:rsid w:val="382673F4"/>
    <w:rsid w:val="382F433C"/>
    <w:rsid w:val="393321BF"/>
    <w:rsid w:val="39FA3A2C"/>
    <w:rsid w:val="3B5D2A32"/>
    <w:rsid w:val="3B626996"/>
    <w:rsid w:val="3E9E1A93"/>
    <w:rsid w:val="3FFF0C57"/>
    <w:rsid w:val="41833EBA"/>
    <w:rsid w:val="43397FDC"/>
    <w:rsid w:val="43F07A13"/>
    <w:rsid w:val="44955954"/>
    <w:rsid w:val="480A0199"/>
    <w:rsid w:val="486A50DB"/>
    <w:rsid w:val="48DA1694"/>
    <w:rsid w:val="4B6407C0"/>
    <w:rsid w:val="4CDF0FE5"/>
    <w:rsid w:val="4DAE02C4"/>
    <w:rsid w:val="4DC31516"/>
    <w:rsid w:val="4E263E42"/>
    <w:rsid w:val="4E67112F"/>
    <w:rsid w:val="50610B72"/>
    <w:rsid w:val="514E10F6"/>
    <w:rsid w:val="51A258E6"/>
    <w:rsid w:val="541A13E6"/>
    <w:rsid w:val="54B43966"/>
    <w:rsid w:val="55894DF3"/>
    <w:rsid w:val="55F97B84"/>
    <w:rsid w:val="56FE35BF"/>
    <w:rsid w:val="584E3FC6"/>
    <w:rsid w:val="59D2488F"/>
    <w:rsid w:val="5B920779"/>
    <w:rsid w:val="5D722610"/>
    <w:rsid w:val="5F755747"/>
    <w:rsid w:val="5FB66EDE"/>
    <w:rsid w:val="600D03CE"/>
    <w:rsid w:val="60B116A2"/>
    <w:rsid w:val="611B678F"/>
    <w:rsid w:val="61DD2E1B"/>
    <w:rsid w:val="624125B1"/>
    <w:rsid w:val="63600718"/>
    <w:rsid w:val="66236B9E"/>
    <w:rsid w:val="666F7D52"/>
    <w:rsid w:val="66772A46"/>
    <w:rsid w:val="667967BE"/>
    <w:rsid w:val="66A74D3E"/>
    <w:rsid w:val="66B17157"/>
    <w:rsid w:val="66D55DD2"/>
    <w:rsid w:val="685F7C35"/>
    <w:rsid w:val="68CE5EB0"/>
    <w:rsid w:val="696D1EDE"/>
    <w:rsid w:val="6B480E55"/>
    <w:rsid w:val="6C2B10F3"/>
    <w:rsid w:val="6CA167B8"/>
    <w:rsid w:val="6E0743D8"/>
    <w:rsid w:val="6E8304FB"/>
    <w:rsid w:val="6E985C4F"/>
    <w:rsid w:val="6F7B8100"/>
    <w:rsid w:val="707C72EB"/>
    <w:rsid w:val="708B7C96"/>
    <w:rsid w:val="70D62557"/>
    <w:rsid w:val="718E1851"/>
    <w:rsid w:val="7242215A"/>
    <w:rsid w:val="72A32411"/>
    <w:rsid w:val="73C6500C"/>
    <w:rsid w:val="76EF302D"/>
    <w:rsid w:val="76F0487A"/>
    <w:rsid w:val="783C1A87"/>
    <w:rsid w:val="78622CA7"/>
    <w:rsid w:val="79801EAF"/>
    <w:rsid w:val="79F13639"/>
    <w:rsid w:val="7AB83901"/>
    <w:rsid w:val="7C267713"/>
    <w:rsid w:val="7C5533D1"/>
    <w:rsid w:val="7D8F3CDD"/>
    <w:rsid w:val="7DDA4C05"/>
    <w:rsid w:val="7EBE700C"/>
    <w:rsid w:val="7EDF125D"/>
    <w:rsid w:val="7EE82268"/>
    <w:rsid w:val="7F1C4EFA"/>
    <w:rsid w:val="7F926ADA"/>
    <w:rsid w:val="EBBC8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  <w:style w:type="paragraph" w:styleId="2">
    <w:name w:val="heading 1"/>
    <w:basedOn w:val="1"/>
    <w:next w:val="3"/>
    <w:link w:val="25"/>
    <w:autoRedefine/>
    <w:qFormat/>
    <w:uiPriority w:val="1"/>
    <w:pPr>
      <w:spacing w:line="651" w:lineRule="exact"/>
      <w:ind w:right="173"/>
      <w:jc w:val="center"/>
      <w:outlineLvl w:val="0"/>
    </w:pPr>
    <w:rPr>
      <w:rFonts w:ascii="Noto Sans CJK JP Medium" w:hAnsi="Noto Sans CJK JP Medium" w:eastAsia="Noto Sans CJK JP Medium" w:cs="Noto Sans CJK JP Medium"/>
      <w:sz w:val="32"/>
      <w:szCs w:val="32"/>
    </w:rPr>
  </w:style>
  <w:style w:type="paragraph" w:styleId="4">
    <w:name w:val="heading 3"/>
    <w:basedOn w:val="1"/>
    <w:next w:val="1"/>
    <w:link w:val="43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autoRedefine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6"/>
    <w:autoRedefine/>
    <w:qFormat/>
    <w:uiPriority w:val="1"/>
    <w:pPr>
      <w:ind w:left="1001"/>
    </w:pPr>
    <w:rPr>
      <w:sz w:val="24"/>
      <w:szCs w:val="24"/>
    </w:rPr>
  </w:style>
  <w:style w:type="paragraph" w:styleId="5">
    <w:name w:val="annotation text"/>
    <w:basedOn w:val="1"/>
    <w:link w:val="34"/>
    <w:autoRedefine/>
    <w:unhideWhenUsed/>
    <w:qFormat/>
    <w:uiPriority w:val="99"/>
  </w:style>
  <w:style w:type="paragraph" w:styleId="6">
    <w:name w:val="Body Text Indent"/>
    <w:basedOn w:val="1"/>
    <w:autoRedefine/>
    <w:qFormat/>
    <w:uiPriority w:val="0"/>
    <w:pPr>
      <w:spacing w:line="340" w:lineRule="atLeast"/>
      <w:ind w:firstLine="600"/>
    </w:pPr>
    <w:rPr>
      <w:sz w:val="30"/>
    </w:rPr>
  </w:style>
  <w:style w:type="paragraph" w:styleId="7">
    <w:name w:val="Balloon Text"/>
    <w:basedOn w:val="1"/>
    <w:link w:val="31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30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paragraph" w:styleId="11">
    <w:name w:val="annotation subject"/>
    <w:basedOn w:val="5"/>
    <w:next w:val="5"/>
    <w:link w:val="35"/>
    <w:autoRedefine/>
    <w:unhideWhenUsed/>
    <w:qFormat/>
    <w:uiPriority w:val="99"/>
    <w:rPr>
      <w:b/>
      <w:bCs/>
    </w:rPr>
  </w:style>
  <w:style w:type="paragraph" w:styleId="12">
    <w:name w:val="Body Text First Indent 2"/>
    <w:basedOn w:val="6"/>
    <w:autoRedefine/>
    <w:qFormat/>
    <w:uiPriority w:val="0"/>
    <w:pPr>
      <w:overflowPunct w:val="0"/>
      <w:adjustRightInd w:val="0"/>
      <w:spacing w:after="120" w:line="240" w:lineRule="auto"/>
      <w:ind w:left="420" w:leftChars="200" w:firstLine="420" w:firstLineChars="200"/>
      <w:textAlignment w:val="baseline"/>
    </w:pPr>
    <w:rPr>
      <w:rFonts w:ascii="宋体"/>
      <w:color w:val="800000"/>
      <w:sz w:val="21"/>
    </w:rPr>
  </w:style>
  <w:style w:type="table" w:styleId="14">
    <w:name w:val="Table Grid"/>
    <w:basedOn w:val="1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autoRedefine/>
    <w:qFormat/>
    <w:uiPriority w:val="22"/>
    <w:rPr>
      <w:b/>
      <w:bCs/>
    </w:rPr>
  </w:style>
  <w:style w:type="character" w:styleId="17">
    <w:name w:val="FollowedHyperlink"/>
    <w:basedOn w:val="15"/>
    <w:autoRedefine/>
    <w:semiHidden/>
    <w:unhideWhenUsed/>
    <w:qFormat/>
    <w:uiPriority w:val="99"/>
    <w:rPr>
      <w:color w:val="428CCA"/>
      <w:u w:val="none"/>
    </w:rPr>
  </w:style>
  <w:style w:type="character" w:styleId="18">
    <w:name w:val="Emphasis"/>
    <w:basedOn w:val="15"/>
    <w:autoRedefine/>
    <w:qFormat/>
    <w:uiPriority w:val="20"/>
  </w:style>
  <w:style w:type="character" w:styleId="19">
    <w:name w:val="HTML Definition"/>
    <w:basedOn w:val="15"/>
    <w:autoRedefine/>
    <w:semiHidden/>
    <w:unhideWhenUsed/>
    <w:qFormat/>
    <w:uiPriority w:val="99"/>
    <w:rPr>
      <w:i/>
      <w:iCs/>
    </w:rPr>
  </w:style>
  <w:style w:type="character" w:styleId="20">
    <w:name w:val="Hyperlink"/>
    <w:basedOn w:val="1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1">
    <w:name w:val="HTML Code"/>
    <w:basedOn w:val="15"/>
    <w:autoRedefine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2">
    <w:name w:val="annotation reference"/>
    <w:basedOn w:val="15"/>
    <w:autoRedefine/>
    <w:unhideWhenUsed/>
    <w:qFormat/>
    <w:uiPriority w:val="99"/>
    <w:rPr>
      <w:sz w:val="21"/>
      <w:szCs w:val="21"/>
    </w:rPr>
  </w:style>
  <w:style w:type="character" w:styleId="23">
    <w:name w:val="HTML Keyboard"/>
    <w:basedOn w:val="15"/>
    <w:autoRedefine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4">
    <w:name w:val="HTML Sample"/>
    <w:basedOn w:val="1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5">
    <w:name w:val="标题 1 字符"/>
    <w:basedOn w:val="15"/>
    <w:link w:val="2"/>
    <w:autoRedefine/>
    <w:qFormat/>
    <w:uiPriority w:val="1"/>
    <w:rPr>
      <w:rFonts w:ascii="Noto Sans CJK JP Medium" w:hAnsi="Noto Sans CJK JP Medium" w:eastAsia="Noto Sans CJK JP Medium" w:cs="Noto Sans CJK JP Medium"/>
      <w:kern w:val="0"/>
      <w:sz w:val="32"/>
      <w:szCs w:val="32"/>
    </w:rPr>
  </w:style>
  <w:style w:type="character" w:customStyle="1" w:styleId="26">
    <w:name w:val="正文文本 字符"/>
    <w:basedOn w:val="15"/>
    <w:link w:val="3"/>
    <w:autoRedefine/>
    <w:qFormat/>
    <w:uiPriority w:val="1"/>
    <w:rPr>
      <w:rFonts w:ascii="Noto Sans CJK JP Black" w:hAnsi="Noto Sans CJK JP Black" w:eastAsia="Noto Sans CJK JP Black" w:cs="Noto Sans CJK JP Black"/>
      <w:kern w:val="0"/>
      <w:sz w:val="24"/>
      <w:szCs w:val="24"/>
    </w:rPr>
  </w:style>
  <w:style w:type="table" w:customStyle="1" w:styleId="27">
    <w:name w:val="Table Normal"/>
    <w:autoRedefine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Table Paragraph"/>
    <w:basedOn w:val="1"/>
    <w:autoRedefine/>
    <w:qFormat/>
    <w:uiPriority w:val="1"/>
    <w:pPr>
      <w:ind w:left="112"/>
    </w:pPr>
    <w:rPr>
      <w:rFonts w:ascii="Arial" w:hAnsi="Arial" w:eastAsia="Arial" w:cs="Arial"/>
    </w:rPr>
  </w:style>
  <w:style w:type="character" w:customStyle="1" w:styleId="29">
    <w:name w:val="页眉 字符"/>
    <w:basedOn w:val="15"/>
    <w:link w:val="9"/>
    <w:autoRedefine/>
    <w:qFormat/>
    <w:uiPriority w:val="0"/>
    <w:rPr>
      <w:rFonts w:ascii="Noto Sans CJK JP Black" w:hAnsi="Noto Sans CJK JP Black" w:eastAsia="Noto Sans CJK JP Black" w:cs="Noto Sans CJK JP Black"/>
      <w:kern w:val="0"/>
      <w:sz w:val="18"/>
      <w:szCs w:val="18"/>
    </w:rPr>
  </w:style>
  <w:style w:type="character" w:customStyle="1" w:styleId="30">
    <w:name w:val="页脚 字符"/>
    <w:basedOn w:val="15"/>
    <w:link w:val="8"/>
    <w:autoRedefine/>
    <w:qFormat/>
    <w:uiPriority w:val="99"/>
    <w:rPr>
      <w:rFonts w:ascii="Noto Sans CJK JP Black" w:hAnsi="Noto Sans CJK JP Black" w:eastAsia="Noto Sans CJK JP Black" w:cs="Noto Sans CJK JP Black"/>
      <w:kern w:val="0"/>
      <w:sz w:val="18"/>
      <w:szCs w:val="18"/>
    </w:rPr>
  </w:style>
  <w:style w:type="character" w:customStyle="1" w:styleId="31">
    <w:name w:val="批注框文本 字符"/>
    <w:basedOn w:val="15"/>
    <w:link w:val="7"/>
    <w:autoRedefine/>
    <w:semiHidden/>
    <w:qFormat/>
    <w:uiPriority w:val="99"/>
    <w:rPr>
      <w:rFonts w:ascii="Noto Sans CJK JP Black" w:hAnsi="Noto Sans CJK JP Black" w:eastAsia="Noto Sans CJK JP Black" w:cs="Noto Sans CJK JP Black"/>
      <w:kern w:val="0"/>
      <w:sz w:val="18"/>
      <w:szCs w:val="18"/>
    </w:rPr>
  </w:style>
  <w:style w:type="paragraph" w:customStyle="1" w:styleId="3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33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34">
    <w:name w:val="批注文字 字符"/>
    <w:basedOn w:val="15"/>
    <w:link w:val="5"/>
    <w:autoRedefine/>
    <w:semiHidden/>
    <w:qFormat/>
    <w:uiPriority w:val="99"/>
    <w:rPr>
      <w:rFonts w:ascii="Noto Sans CJK JP Black" w:hAnsi="Noto Sans CJK JP Black" w:eastAsia="Noto Sans CJK JP Black" w:cs="Noto Sans CJK JP Black"/>
      <w:kern w:val="0"/>
      <w:sz w:val="22"/>
    </w:rPr>
  </w:style>
  <w:style w:type="character" w:customStyle="1" w:styleId="35">
    <w:name w:val="批注主题 字符"/>
    <w:basedOn w:val="34"/>
    <w:link w:val="11"/>
    <w:autoRedefine/>
    <w:semiHidden/>
    <w:qFormat/>
    <w:uiPriority w:val="99"/>
    <w:rPr>
      <w:rFonts w:ascii="Noto Sans CJK JP Black" w:hAnsi="Noto Sans CJK JP Black" w:eastAsia="Noto Sans CJK JP Black" w:cs="Noto Sans CJK JP Black"/>
      <w:b/>
      <w:bCs/>
      <w:kern w:val="0"/>
      <w:sz w:val="22"/>
    </w:rPr>
  </w:style>
  <w:style w:type="character" w:customStyle="1" w:styleId="36">
    <w:name w:val="未处理的提及1"/>
    <w:basedOn w:val="15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37">
    <w:name w:val="未处理的提及2"/>
    <w:basedOn w:val="15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38">
    <w:name w:val="未处理的提及3"/>
    <w:basedOn w:val="15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39">
    <w:name w:val="未处理的提及4"/>
    <w:basedOn w:val="15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cf01"/>
    <w:basedOn w:val="15"/>
    <w:autoRedefine/>
    <w:qFormat/>
    <w:uiPriority w:val="0"/>
    <w:rPr>
      <w:rFonts w:hint="eastAsia" w:ascii="Microsoft YaHei UI" w:hAnsi="Microsoft YaHei UI" w:eastAsia="Microsoft YaHei UI"/>
      <w:sz w:val="18"/>
      <w:szCs w:val="18"/>
    </w:rPr>
  </w:style>
  <w:style w:type="character" w:customStyle="1" w:styleId="41">
    <w:name w:val="cf11"/>
    <w:basedOn w:val="15"/>
    <w:autoRedefine/>
    <w:qFormat/>
    <w:uiPriority w:val="0"/>
    <w:rPr>
      <w:rFonts w:hint="eastAsia" w:ascii="Microsoft YaHei UI" w:hAnsi="Microsoft YaHei UI" w:eastAsia="Microsoft YaHei UI"/>
      <w:sz w:val="18"/>
      <w:szCs w:val="18"/>
    </w:rPr>
  </w:style>
  <w:style w:type="character" w:customStyle="1" w:styleId="42">
    <w:name w:val="未处理的提及5"/>
    <w:basedOn w:val="15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标题 3 字符"/>
    <w:basedOn w:val="15"/>
    <w:link w:val="4"/>
    <w:autoRedefine/>
    <w:semiHidden/>
    <w:qFormat/>
    <w:uiPriority w:val="9"/>
    <w:rPr>
      <w:rFonts w:ascii="Noto Sans CJK JP Black" w:hAnsi="Noto Sans CJK JP Black" w:eastAsia="Noto Sans CJK JP Black" w:cs="Noto Sans CJK JP Black"/>
      <w:b/>
      <w:bCs/>
      <w:sz w:val="32"/>
      <w:szCs w:val="32"/>
    </w:rPr>
  </w:style>
  <w:style w:type="character" w:customStyle="1" w:styleId="44">
    <w:name w:val="未处理的提及6"/>
    <w:basedOn w:val="15"/>
    <w:autoRedefine/>
    <w:unhideWhenUsed/>
    <w:qFormat/>
    <w:uiPriority w:val="99"/>
    <w:rPr>
      <w:color w:val="605E5C"/>
      <w:shd w:val="clear" w:color="auto" w:fill="E1DFDD"/>
    </w:rPr>
  </w:style>
  <w:style w:type="paragraph" w:customStyle="1" w:styleId="45">
    <w:name w:val="修订1"/>
    <w:autoRedefine/>
    <w:hidden/>
    <w:semiHidden/>
    <w:qFormat/>
    <w:uiPriority w:val="99"/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  <w:style w:type="paragraph" w:customStyle="1" w:styleId="46">
    <w:name w:val="修订2"/>
    <w:autoRedefine/>
    <w:hidden/>
    <w:semiHidden/>
    <w:qFormat/>
    <w:uiPriority w:val="99"/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  <w:style w:type="paragraph" w:customStyle="1" w:styleId="47">
    <w:name w:val="修订3"/>
    <w:autoRedefine/>
    <w:hidden/>
    <w:semiHidden/>
    <w:qFormat/>
    <w:uiPriority w:val="99"/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  <w:style w:type="paragraph" w:customStyle="1" w:styleId="48">
    <w:name w:val="IPO正文"/>
    <w:basedOn w:val="1"/>
    <w:autoRedefine/>
    <w:qFormat/>
    <w:uiPriority w:val="0"/>
    <w:pPr>
      <w:spacing w:after="156" w:afterLines="50" w:line="360" w:lineRule="auto"/>
      <w:ind w:firstLine="480" w:firstLineChars="200"/>
    </w:pPr>
    <w:rPr>
      <w:rFonts w:ascii="Arial" w:hAnsi="Arial" w:cs="Arial"/>
      <w:color w:val="000000"/>
      <w:sz w:val="24"/>
      <w:lang w:eastAsia="en-US" w:bidi="en-US"/>
    </w:rPr>
  </w:style>
  <w:style w:type="character" w:customStyle="1" w:styleId="49">
    <w:name w:val="remain"/>
    <w:basedOn w:val="15"/>
    <w:autoRedefine/>
    <w:qFormat/>
    <w:uiPriority w:val="0"/>
    <w:rPr>
      <w:b/>
      <w:bCs/>
      <w:i/>
      <w:iCs/>
      <w:color w:val="666666"/>
      <w:sz w:val="15"/>
      <w:szCs w:val="15"/>
    </w:rPr>
  </w:style>
  <w:style w:type="paragraph" w:customStyle="1" w:styleId="50">
    <w:name w:val="修订4"/>
    <w:autoRedefine/>
    <w:hidden/>
    <w:unhideWhenUsed/>
    <w:qFormat/>
    <w:uiPriority w:val="99"/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  <w:style w:type="paragraph" w:customStyle="1" w:styleId="51">
    <w:name w:val="Revision"/>
    <w:autoRedefine/>
    <w:hidden/>
    <w:unhideWhenUsed/>
    <w:qFormat/>
    <w:uiPriority w:val="99"/>
    <w:rPr>
      <w:rFonts w:ascii="Noto Sans CJK JP Black" w:hAnsi="Noto Sans CJK JP Black" w:eastAsia="Noto Sans CJK JP Black" w:cs="Noto Sans CJK JP Black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3721</Words>
  <Characters>1413</Characters>
  <Lines>11</Lines>
  <Paragraphs>10</Paragraphs>
  <TotalTime>12</TotalTime>
  <ScaleCrop>false</ScaleCrop>
  <LinksUpToDate>false</LinksUpToDate>
  <CharactersWithSpaces>5124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2022-07-27T10:45:00Z</dcterms:created>
  <dc:creator>dell</dc:creator>
  <cp:lastModifiedBy>Leanne</cp:lastModifiedBy>
  <cp:lastPrinted>2022-07-27T11:42:00Z</cp:lastPrinted>
  <dcterms:modified xsi:type="dcterms:W3CDTF">2023-12-29T12:38:27Z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B02614E5D6C64870B10AF89DF9832984_13</vt:lpwstr>
  </property>
</Properties>
</file>